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FF" w:rsidRDefault="00684BFF" w:rsidP="002E05F9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E6DF6" w:rsidRPr="00CB25B7" w:rsidRDefault="0073495C" w:rsidP="00CB25B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B25B7">
        <w:rPr>
          <w:rFonts w:ascii="Times New Roman" w:hAnsi="Times New Roman" w:cs="Times New Roman"/>
          <w:sz w:val="26"/>
          <w:szCs w:val="26"/>
        </w:rPr>
        <w:t>роект</w:t>
      </w:r>
    </w:p>
    <w:tbl>
      <w:tblPr>
        <w:tblStyle w:val="a3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51"/>
      </w:tblGrid>
      <w:tr w:rsidR="008A6868" w:rsidRPr="0062425E" w:rsidTr="00045181">
        <w:tc>
          <w:tcPr>
            <w:tcW w:w="5353" w:type="dxa"/>
          </w:tcPr>
          <w:p w:rsidR="00045181" w:rsidRPr="0062425E" w:rsidRDefault="00045181" w:rsidP="002E05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181" w:rsidRPr="0062425E" w:rsidRDefault="00045181" w:rsidP="002E05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749" w:rsidRPr="0062425E" w:rsidRDefault="00710749" w:rsidP="002E05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181" w:rsidRPr="0062425E" w:rsidRDefault="00045181" w:rsidP="002E05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749" w:rsidRPr="0062425E" w:rsidRDefault="00710749" w:rsidP="002E05F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6868" w:rsidRPr="0062425E" w:rsidRDefault="008A6868" w:rsidP="007F066F">
            <w:pPr>
              <w:tabs>
                <w:tab w:val="left" w:pos="4962"/>
              </w:tabs>
              <w:spacing w:line="276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О сроках представления 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>главными распорядителями средств республиканского бюджета</w:t>
            </w:r>
            <w:r w:rsidR="000E2D1F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Республики, 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>главными администраторами</w:t>
            </w:r>
            <w:r w:rsidR="00515F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>доходов республиканского бюджета Чувашской Республики, главными администраторами источников финансирования дефицита республиканского бюджета Чувашской Республики</w:t>
            </w:r>
            <w:r w:rsidR="00D8050C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>годовой бюджетной отчетности</w:t>
            </w:r>
            <w:r w:rsidR="00D8050C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A5BAC" w:rsidRPr="0062425E">
              <w:rPr>
                <w:rFonts w:ascii="Times New Roman" w:hAnsi="Times New Roman" w:cs="Times New Roman"/>
                <w:sz w:val="26"/>
                <w:szCs w:val="26"/>
              </w:rPr>
              <w:t>годовой бухгалтерской отчетности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 и автономных учреждений Чувашской Республики за 20</w:t>
            </w:r>
            <w:r w:rsidR="00052DF8" w:rsidRPr="00624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066F" w:rsidRPr="007F06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8050C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год,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месячной и квартальной </w:t>
            </w:r>
            <w:r w:rsidR="007A5BAC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бюджетной </w:t>
            </w:r>
            <w:r w:rsidR="00D8050C" w:rsidRPr="0062425E">
              <w:rPr>
                <w:rFonts w:ascii="Times New Roman" w:hAnsi="Times New Roman" w:cs="Times New Roman"/>
                <w:sz w:val="26"/>
                <w:szCs w:val="26"/>
              </w:rPr>
              <w:t>отчетности,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квартальной бухгалтерской отчетности бюджетных и автономных учреждений Чувашской Республики в 20</w:t>
            </w:r>
            <w:r w:rsidR="00962A79" w:rsidRPr="006242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066F" w:rsidRPr="007F06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5645" w:rsidRPr="0062425E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proofErr w:type="gramEnd"/>
          </w:p>
        </w:tc>
        <w:tc>
          <w:tcPr>
            <w:tcW w:w="3651" w:type="dxa"/>
          </w:tcPr>
          <w:p w:rsidR="008A6868" w:rsidRPr="0062425E" w:rsidRDefault="008A6868" w:rsidP="002E05F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5181" w:rsidRPr="0062425E" w:rsidRDefault="00045181" w:rsidP="002E05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918D1" w:rsidRPr="0062425E" w:rsidRDefault="00C918D1" w:rsidP="002E05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2081" w:rsidRPr="0062425E" w:rsidRDefault="008A6868" w:rsidP="00033F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425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264.</w:t>
        </w:r>
        <w:r w:rsidR="006B5645"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>2</w:t>
        </w:r>
      </w:hyperlink>
      <w:r w:rsidRPr="0062425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приказами Министерства финансов Российской Федерации от 28 декабря 2010 г. </w:t>
      </w:r>
      <w:hyperlink r:id="rId7" w:history="1">
        <w:r w:rsidR="00376BB0"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191н</w:t>
        </w:r>
      </w:hyperlink>
      <w:r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7E1E2A" w:rsidRPr="0062425E">
        <w:rPr>
          <w:rFonts w:ascii="Times New Roman" w:hAnsi="Times New Roman" w:cs="Times New Roman"/>
          <w:sz w:val="26"/>
          <w:szCs w:val="26"/>
        </w:rPr>
        <w:t>«</w:t>
      </w:r>
      <w:r w:rsidRPr="0062425E">
        <w:rPr>
          <w:rFonts w:ascii="Times New Roman" w:hAnsi="Times New Roman" w:cs="Times New Roman"/>
          <w:sz w:val="26"/>
          <w:szCs w:val="2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7E1E2A" w:rsidRPr="0062425E">
        <w:rPr>
          <w:rFonts w:ascii="Times New Roman" w:hAnsi="Times New Roman" w:cs="Times New Roman"/>
          <w:sz w:val="26"/>
          <w:szCs w:val="26"/>
        </w:rPr>
        <w:t>»</w:t>
      </w:r>
      <w:r w:rsidRPr="0062425E">
        <w:rPr>
          <w:rFonts w:ascii="Times New Roman" w:hAnsi="Times New Roman" w:cs="Times New Roman"/>
          <w:sz w:val="26"/>
          <w:szCs w:val="26"/>
        </w:rPr>
        <w:t xml:space="preserve"> (зарегистрирован в Министерстве юстиции Российской Федерации 3 февраля 2011 г., регистрационный </w:t>
      </w:r>
      <w:r w:rsidR="00376BB0" w:rsidRPr="0062425E">
        <w:rPr>
          <w:rFonts w:ascii="Times New Roman" w:hAnsi="Times New Roman" w:cs="Times New Roman"/>
          <w:sz w:val="26"/>
          <w:szCs w:val="26"/>
        </w:rPr>
        <w:t>№</w:t>
      </w:r>
      <w:r w:rsidRPr="0062425E">
        <w:rPr>
          <w:rFonts w:ascii="Times New Roman" w:hAnsi="Times New Roman" w:cs="Times New Roman"/>
          <w:sz w:val="26"/>
          <w:szCs w:val="26"/>
        </w:rPr>
        <w:t xml:space="preserve"> 19693), от 25 марта 2011 г. </w:t>
      </w:r>
      <w:hyperlink r:id="rId8" w:history="1">
        <w:r w:rsidR="00376BB0"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Pr="0062425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33н</w:t>
        </w:r>
      </w:hyperlink>
      <w:r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7E1E2A" w:rsidRPr="0062425E">
        <w:rPr>
          <w:rFonts w:ascii="Times New Roman" w:hAnsi="Times New Roman" w:cs="Times New Roman"/>
          <w:sz w:val="26"/>
          <w:szCs w:val="26"/>
        </w:rPr>
        <w:t>«</w:t>
      </w:r>
      <w:r w:rsidRPr="0062425E">
        <w:rPr>
          <w:rFonts w:ascii="Times New Roman" w:hAnsi="Times New Roman" w:cs="Times New Roman"/>
          <w:sz w:val="26"/>
          <w:szCs w:val="26"/>
        </w:rPr>
        <w:t>Об утверждении</w:t>
      </w:r>
      <w:proofErr w:type="gramEnd"/>
      <w:r w:rsidRPr="0062425E">
        <w:rPr>
          <w:rFonts w:ascii="Times New Roman" w:hAnsi="Times New Roman" w:cs="Times New Roman"/>
          <w:sz w:val="26"/>
          <w:szCs w:val="26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7E1E2A" w:rsidRPr="0062425E">
        <w:rPr>
          <w:rFonts w:ascii="Times New Roman" w:hAnsi="Times New Roman" w:cs="Times New Roman"/>
          <w:sz w:val="26"/>
          <w:szCs w:val="26"/>
        </w:rPr>
        <w:t>»</w:t>
      </w:r>
      <w:r w:rsidRPr="0062425E">
        <w:rPr>
          <w:rFonts w:ascii="Times New Roman" w:hAnsi="Times New Roman" w:cs="Times New Roman"/>
          <w:sz w:val="26"/>
          <w:szCs w:val="26"/>
        </w:rPr>
        <w:t xml:space="preserve"> (зарегистрирован</w:t>
      </w:r>
      <w:r w:rsidR="007F77B3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5B1265" w:rsidRPr="0062425E">
        <w:rPr>
          <w:rFonts w:ascii="Times New Roman" w:hAnsi="Times New Roman" w:cs="Times New Roman"/>
          <w:sz w:val="26"/>
          <w:szCs w:val="26"/>
        </w:rPr>
        <w:t>в</w:t>
      </w:r>
      <w:r w:rsidRPr="0062425E">
        <w:rPr>
          <w:rFonts w:ascii="Times New Roman" w:hAnsi="Times New Roman" w:cs="Times New Roman"/>
          <w:sz w:val="26"/>
          <w:szCs w:val="26"/>
        </w:rPr>
        <w:t xml:space="preserve"> Министерстве юстиции </w:t>
      </w:r>
      <w:r w:rsidR="007F77B3" w:rsidRPr="0062425E">
        <w:rPr>
          <w:rFonts w:ascii="Times New Roman" w:hAnsi="Times New Roman" w:cs="Times New Roman"/>
          <w:sz w:val="26"/>
          <w:szCs w:val="26"/>
        </w:rPr>
        <w:t xml:space="preserve">   </w:t>
      </w:r>
      <w:r w:rsidRPr="0062425E">
        <w:rPr>
          <w:rFonts w:ascii="Times New Roman" w:hAnsi="Times New Roman" w:cs="Times New Roman"/>
          <w:sz w:val="26"/>
          <w:szCs w:val="26"/>
        </w:rPr>
        <w:t xml:space="preserve">Российской Федерации 22 апреля 2011 г., регистрационный </w:t>
      </w:r>
      <w:r w:rsidR="00376BB0" w:rsidRPr="0062425E">
        <w:rPr>
          <w:rFonts w:ascii="Times New Roman" w:hAnsi="Times New Roman" w:cs="Times New Roman"/>
          <w:sz w:val="26"/>
          <w:szCs w:val="26"/>
        </w:rPr>
        <w:t>№</w:t>
      </w:r>
      <w:r w:rsidRPr="0062425E">
        <w:rPr>
          <w:rFonts w:ascii="Times New Roman" w:hAnsi="Times New Roman" w:cs="Times New Roman"/>
          <w:sz w:val="26"/>
          <w:szCs w:val="26"/>
        </w:rPr>
        <w:t xml:space="preserve"> 20558) </w:t>
      </w:r>
      <w:proofErr w:type="gramStart"/>
      <w:r w:rsidRPr="0062425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р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и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к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а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з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ы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в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а</w:t>
      </w:r>
      <w:r w:rsidR="008055AD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hAnsi="Times New Roman" w:cs="Times New Roman"/>
          <w:sz w:val="26"/>
          <w:szCs w:val="26"/>
        </w:rPr>
        <w:t>ю:</w:t>
      </w:r>
      <w:r w:rsidR="00FB115D" w:rsidRPr="00624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2081" w:rsidRPr="0062425E" w:rsidRDefault="00AA2081" w:rsidP="00033F05">
      <w:pPr>
        <w:tabs>
          <w:tab w:val="left" w:pos="567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25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62425E">
        <w:rPr>
          <w:rFonts w:ascii="Times New Roman" w:hAnsi="Times New Roman" w:cs="Times New Roman"/>
          <w:sz w:val="26"/>
          <w:szCs w:val="26"/>
        </w:rPr>
        <w:t>Установить, что главные распорядители средств республиканского бюджета Чувашской Республики, главные администраторы доходов республиканского бюджета Чувашской Республики, главные администраторы источников финансирования дефицита республиканского бюджета Чувашской Республики осуществляют представление в Министерств</w:t>
      </w:r>
      <w:r w:rsidR="00D8050C" w:rsidRPr="0062425E">
        <w:rPr>
          <w:rFonts w:ascii="Times New Roman" w:hAnsi="Times New Roman" w:cs="Times New Roman"/>
          <w:sz w:val="26"/>
          <w:szCs w:val="26"/>
        </w:rPr>
        <w:t>о финансов Чувашской Республики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 годово</w:t>
      </w:r>
      <w:r w:rsidR="00D8050C" w:rsidRPr="0062425E">
        <w:rPr>
          <w:rFonts w:ascii="Times New Roman" w:hAnsi="Times New Roman" w:cs="Times New Roman"/>
          <w:sz w:val="26"/>
          <w:szCs w:val="26"/>
        </w:rPr>
        <w:t xml:space="preserve">й бюджетной отчетности, 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годовой бухгалтерской отчетности </w:t>
      </w:r>
      <w:r w:rsidR="00EB2E2A" w:rsidRPr="0062425E">
        <w:rPr>
          <w:rFonts w:ascii="Times New Roman" w:hAnsi="Times New Roman" w:cs="Times New Roman"/>
          <w:sz w:val="26"/>
          <w:szCs w:val="26"/>
        </w:rPr>
        <w:lastRenderedPageBreak/>
        <w:t>бюджетных и автономных учреждений Чувашской Республики за</w:t>
      </w:r>
      <w:r w:rsidR="00C918D1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EB2E2A" w:rsidRPr="0062425E">
        <w:rPr>
          <w:rFonts w:ascii="Times New Roman" w:hAnsi="Times New Roman" w:cs="Times New Roman"/>
          <w:sz w:val="26"/>
          <w:szCs w:val="26"/>
        </w:rPr>
        <w:t>20</w:t>
      </w:r>
      <w:r w:rsidR="00052DF8" w:rsidRPr="0062425E">
        <w:rPr>
          <w:rFonts w:ascii="Times New Roman" w:hAnsi="Times New Roman" w:cs="Times New Roman"/>
          <w:sz w:val="26"/>
          <w:szCs w:val="26"/>
        </w:rPr>
        <w:t>2</w:t>
      </w:r>
      <w:r w:rsidR="00882201">
        <w:rPr>
          <w:rFonts w:ascii="Times New Roman" w:hAnsi="Times New Roman" w:cs="Times New Roman"/>
          <w:sz w:val="26"/>
          <w:szCs w:val="26"/>
        </w:rPr>
        <w:t>4</w:t>
      </w:r>
      <w:r w:rsidR="00C918D1" w:rsidRPr="0062425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D8050C" w:rsidRPr="0062425E">
        <w:rPr>
          <w:rFonts w:ascii="Times New Roman" w:hAnsi="Times New Roman" w:cs="Times New Roman"/>
          <w:sz w:val="26"/>
          <w:szCs w:val="26"/>
        </w:rPr>
        <w:t xml:space="preserve">год, 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241C3A" w:rsidRPr="0062425E">
        <w:rPr>
          <w:rFonts w:ascii="Times New Roman" w:hAnsi="Times New Roman" w:cs="Times New Roman"/>
          <w:sz w:val="26"/>
          <w:szCs w:val="26"/>
        </w:rPr>
        <w:t xml:space="preserve">месячной и </w:t>
      </w:r>
      <w:r w:rsidR="00EB2E2A" w:rsidRPr="0062425E">
        <w:rPr>
          <w:rFonts w:ascii="Times New Roman" w:hAnsi="Times New Roman" w:cs="Times New Roman"/>
          <w:sz w:val="26"/>
          <w:szCs w:val="26"/>
        </w:rPr>
        <w:t>квартальн</w:t>
      </w:r>
      <w:r w:rsidR="00D8050C" w:rsidRPr="0062425E">
        <w:rPr>
          <w:rFonts w:ascii="Times New Roman" w:hAnsi="Times New Roman" w:cs="Times New Roman"/>
          <w:sz w:val="26"/>
          <w:szCs w:val="26"/>
        </w:rPr>
        <w:t>ой бюджетной отчетности,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 квартальной бухгалтерской отчетности бюджетных и автономных учреждений Чувашской</w:t>
      </w:r>
      <w:proofErr w:type="gramEnd"/>
      <w:r w:rsidR="00EB2E2A" w:rsidRPr="0062425E">
        <w:rPr>
          <w:rFonts w:ascii="Times New Roman" w:hAnsi="Times New Roman" w:cs="Times New Roman"/>
          <w:sz w:val="26"/>
          <w:szCs w:val="26"/>
        </w:rPr>
        <w:t xml:space="preserve"> Республики в 20</w:t>
      </w:r>
      <w:r w:rsidR="00052DF8" w:rsidRPr="0062425E">
        <w:rPr>
          <w:rFonts w:ascii="Times New Roman" w:hAnsi="Times New Roman" w:cs="Times New Roman"/>
          <w:sz w:val="26"/>
          <w:szCs w:val="26"/>
        </w:rPr>
        <w:t>2</w:t>
      </w:r>
      <w:r w:rsidR="00882201">
        <w:rPr>
          <w:rFonts w:ascii="Times New Roman" w:hAnsi="Times New Roman" w:cs="Times New Roman"/>
          <w:sz w:val="26"/>
          <w:szCs w:val="26"/>
        </w:rPr>
        <w:t>5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 году в электронном виде с использованием </w:t>
      </w:r>
      <w:r w:rsidR="008A67C0" w:rsidRPr="0062425E">
        <w:rPr>
          <w:rFonts w:ascii="Times New Roman" w:hAnsi="Times New Roman" w:cs="Times New Roman"/>
          <w:sz w:val="26"/>
          <w:szCs w:val="26"/>
        </w:rPr>
        <w:t xml:space="preserve">усиленной квалифицированной </w:t>
      </w:r>
      <w:r w:rsidR="00EB2E2A" w:rsidRPr="0062425E">
        <w:rPr>
          <w:rFonts w:ascii="Times New Roman" w:hAnsi="Times New Roman" w:cs="Times New Roman"/>
          <w:sz w:val="26"/>
          <w:szCs w:val="26"/>
        </w:rPr>
        <w:t xml:space="preserve">электронной подписи средствами программного комплекса </w:t>
      </w:r>
      <w:r w:rsidR="007E1E2A" w:rsidRPr="0062425E">
        <w:rPr>
          <w:rFonts w:ascii="Times New Roman" w:hAnsi="Times New Roman" w:cs="Times New Roman"/>
          <w:sz w:val="26"/>
          <w:szCs w:val="26"/>
        </w:rPr>
        <w:t>«</w:t>
      </w:r>
      <w:r w:rsidR="00EB2E2A" w:rsidRPr="0062425E">
        <w:rPr>
          <w:rFonts w:ascii="Times New Roman" w:hAnsi="Times New Roman" w:cs="Times New Roman"/>
          <w:sz w:val="26"/>
          <w:szCs w:val="26"/>
        </w:rPr>
        <w:t>Свод-Смарт</w:t>
      </w:r>
      <w:r w:rsidR="007E1E2A" w:rsidRPr="0062425E">
        <w:rPr>
          <w:rFonts w:ascii="Times New Roman" w:hAnsi="Times New Roman" w:cs="Times New Roman"/>
          <w:sz w:val="26"/>
          <w:szCs w:val="26"/>
        </w:rPr>
        <w:t>»</w:t>
      </w:r>
      <w:r w:rsidR="00EB2E2A" w:rsidRPr="0062425E">
        <w:rPr>
          <w:rFonts w:ascii="Times New Roman" w:hAnsi="Times New Roman" w:cs="Times New Roman"/>
          <w:sz w:val="26"/>
          <w:szCs w:val="26"/>
        </w:rPr>
        <w:t>, а при отсутствии технической возможности - на бумажном носителе в следующие сроки</w:t>
      </w:r>
      <w:r w:rsidRPr="0062425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A2081" w:rsidRPr="0062425E" w:rsidRDefault="00AA2081" w:rsidP="00033F05">
      <w:pPr>
        <w:tabs>
          <w:tab w:val="left" w:pos="567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месячной </w:t>
      </w:r>
      <w:r w:rsidR="00241C3A"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бюджетной 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 в части Справок</w:t>
      </w:r>
      <w:r w:rsidRPr="0062425E">
        <w:rPr>
          <w:rFonts w:ascii="Times New Roman" w:hAnsi="Times New Roman" w:cs="Times New Roman"/>
          <w:sz w:val="26"/>
          <w:szCs w:val="26"/>
        </w:rPr>
        <w:t xml:space="preserve"> по консолидируемым расчетам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6242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</w:t>
        </w:r>
        <w:r w:rsidRPr="0062425E">
          <w:rPr>
            <w:rFonts w:ascii="Times New Roman" w:hAnsi="Times New Roman" w:cs="Times New Roman"/>
            <w:sz w:val="26"/>
            <w:szCs w:val="26"/>
          </w:rPr>
          <w:t>ормы</w:t>
        </w:r>
        <w:r w:rsidRPr="006242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0503125)</w:t>
        </w:r>
      </w:hyperlink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позднее </w:t>
      </w:r>
      <w:r w:rsidRPr="0062425E">
        <w:rPr>
          <w:rFonts w:ascii="Times New Roman" w:hAnsi="Times New Roman" w:cs="Times New Roman"/>
          <w:sz w:val="26"/>
          <w:szCs w:val="26"/>
        </w:rPr>
        <w:t xml:space="preserve">7 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календарного дня месяца, следующего за отчетным периодом;</w:t>
      </w:r>
    </w:p>
    <w:p w:rsidR="00CC24EA" w:rsidRDefault="00CC24EA" w:rsidP="00033F05">
      <w:pPr>
        <w:tabs>
          <w:tab w:val="left" w:pos="5670"/>
        </w:tabs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месячной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>тчетности о бюджетных обязательствах</w:t>
      </w:r>
      <w:r w:rsidR="00AB4F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обязательствах учреждения </w:t>
      </w: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 </w:t>
      </w:r>
      <w:r w:rsidRPr="00C34B2B">
        <w:rPr>
          <w:rFonts w:ascii="Times New Roman" w:hAnsi="Times New Roman" w:cs="Times New Roman"/>
          <w:sz w:val="26"/>
          <w:szCs w:val="26"/>
        </w:rPr>
        <w:t xml:space="preserve"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 </w:t>
      </w:r>
      <w:hyperlink r:id="rId10" w:history="1">
        <w:r w:rsidRPr="00C34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</w:t>
        </w:r>
        <w:r w:rsidRPr="00C34B2B">
          <w:rPr>
            <w:rFonts w:ascii="Times New Roman" w:hAnsi="Times New Roman" w:cs="Times New Roman"/>
            <w:sz w:val="26"/>
            <w:szCs w:val="26"/>
          </w:rPr>
          <w:t>ормы</w:t>
        </w:r>
        <w:r w:rsidRPr="00C34B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0503128-НП, 0503738-НП)</w:t>
        </w:r>
      </w:hyperlink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позднее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34B2B">
        <w:rPr>
          <w:rFonts w:ascii="Times New Roman" w:hAnsi="Times New Roman" w:cs="Times New Roman"/>
          <w:sz w:val="26"/>
          <w:szCs w:val="26"/>
        </w:rPr>
        <w:t xml:space="preserve"> </w:t>
      </w: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календарного дня месяца, следующего за отчетным периодом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2B59" w:rsidRDefault="00C52B59" w:rsidP="00033F05">
      <w:pPr>
        <w:tabs>
          <w:tab w:val="left" w:pos="567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25E">
        <w:rPr>
          <w:rFonts w:ascii="Times New Roman" w:hAnsi="Times New Roman" w:cs="Times New Roman"/>
          <w:sz w:val="26"/>
          <w:szCs w:val="26"/>
        </w:rPr>
        <w:t xml:space="preserve">месячной бюджетной отчетности, за исключением </w:t>
      </w:r>
      <w:r w:rsidR="00CC24EA">
        <w:rPr>
          <w:rFonts w:ascii="Times New Roman" w:hAnsi="Times New Roman" w:cs="Times New Roman"/>
          <w:sz w:val="26"/>
          <w:szCs w:val="26"/>
        </w:rPr>
        <w:t xml:space="preserve">отчетов, представляемых в соответствии с </w:t>
      </w:r>
      <w:r w:rsidRPr="0062425E">
        <w:rPr>
          <w:rFonts w:ascii="Times New Roman" w:hAnsi="Times New Roman" w:cs="Times New Roman"/>
          <w:sz w:val="26"/>
          <w:szCs w:val="26"/>
        </w:rPr>
        <w:t>абзаца</w:t>
      </w:r>
      <w:r w:rsidR="00CC24EA">
        <w:rPr>
          <w:rFonts w:ascii="Times New Roman" w:hAnsi="Times New Roman" w:cs="Times New Roman"/>
          <w:sz w:val="26"/>
          <w:szCs w:val="26"/>
        </w:rPr>
        <w:t>ми</w:t>
      </w:r>
      <w:r w:rsidRPr="0062425E">
        <w:rPr>
          <w:rFonts w:ascii="Times New Roman" w:hAnsi="Times New Roman" w:cs="Times New Roman"/>
          <w:sz w:val="26"/>
          <w:szCs w:val="26"/>
        </w:rPr>
        <w:t xml:space="preserve"> втор</w:t>
      </w:r>
      <w:r w:rsidR="00CC24EA">
        <w:rPr>
          <w:rFonts w:ascii="Times New Roman" w:hAnsi="Times New Roman" w:cs="Times New Roman"/>
          <w:sz w:val="26"/>
          <w:szCs w:val="26"/>
        </w:rPr>
        <w:t>ым</w:t>
      </w:r>
      <w:r w:rsidR="002E6ACC">
        <w:rPr>
          <w:rFonts w:ascii="Times New Roman" w:hAnsi="Times New Roman" w:cs="Times New Roman"/>
          <w:sz w:val="26"/>
          <w:szCs w:val="26"/>
        </w:rPr>
        <w:t xml:space="preserve"> и </w:t>
      </w:r>
      <w:r w:rsidR="00CC24EA">
        <w:rPr>
          <w:rFonts w:ascii="Times New Roman" w:hAnsi="Times New Roman" w:cs="Times New Roman"/>
          <w:sz w:val="26"/>
          <w:szCs w:val="26"/>
        </w:rPr>
        <w:t xml:space="preserve">третьим </w:t>
      </w:r>
      <w:r w:rsidRPr="0062425E">
        <w:rPr>
          <w:rFonts w:ascii="Times New Roman" w:hAnsi="Times New Roman" w:cs="Times New Roman"/>
          <w:sz w:val="26"/>
          <w:szCs w:val="26"/>
        </w:rPr>
        <w:t>настоящ</w:t>
      </w:r>
      <w:r w:rsidR="00CC24EA">
        <w:rPr>
          <w:rFonts w:ascii="Times New Roman" w:hAnsi="Times New Roman" w:cs="Times New Roman"/>
          <w:sz w:val="26"/>
          <w:szCs w:val="26"/>
        </w:rPr>
        <w:t>его пункта – не позднее 10 календарного дня</w:t>
      </w:r>
      <w:r w:rsidRPr="0062425E">
        <w:rPr>
          <w:rFonts w:ascii="Times New Roman" w:hAnsi="Times New Roman" w:cs="Times New Roman"/>
          <w:sz w:val="26"/>
          <w:szCs w:val="26"/>
        </w:rPr>
        <w:t xml:space="preserve"> месяца, следующего за отчетным</w:t>
      </w:r>
      <w:r w:rsidR="00CC24EA">
        <w:rPr>
          <w:rFonts w:ascii="Times New Roman" w:hAnsi="Times New Roman" w:cs="Times New Roman"/>
          <w:sz w:val="26"/>
          <w:szCs w:val="26"/>
        </w:rPr>
        <w:t xml:space="preserve"> периодом</w:t>
      </w:r>
      <w:r w:rsidRPr="0062425E">
        <w:rPr>
          <w:rFonts w:ascii="Times New Roman" w:hAnsi="Times New Roman" w:cs="Times New Roman"/>
          <w:sz w:val="26"/>
          <w:szCs w:val="26"/>
        </w:rPr>
        <w:t>;</w:t>
      </w:r>
      <w:r w:rsidRPr="0062425E">
        <w:rPr>
          <w:rFonts w:ascii="Times New Roman" w:hAnsi="Times New Roman" w:cs="Times New Roman"/>
          <w:sz w:val="26"/>
          <w:szCs w:val="26"/>
        </w:rPr>
        <w:tab/>
      </w:r>
    </w:p>
    <w:p w:rsidR="00CC24EA" w:rsidRPr="00C34B2B" w:rsidRDefault="00CC24EA" w:rsidP="00CC24EA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квартальной </w:t>
      </w:r>
      <w:r w:rsidRPr="00C34B2B">
        <w:rPr>
          <w:rFonts w:ascii="Times New Roman" w:hAnsi="Times New Roman" w:cs="Times New Roman"/>
          <w:sz w:val="26"/>
          <w:szCs w:val="26"/>
        </w:rPr>
        <w:t>бухгалтерской отчетности</w:t>
      </w:r>
      <w:r w:rsidR="002E6ACC" w:rsidRPr="002E6ACC">
        <w:rPr>
          <w:rFonts w:ascii="Times New Roman" w:hAnsi="Times New Roman" w:cs="Times New Roman"/>
          <w:sz w:val="26"/>
          <w:szCs w:val="26"/>
        </w:rPr>
        <w:t xml:space="preserve"> </w:t>
      </w:r>
      <w:r w:rsidR="002E6ACC" w:rsidRPr="0062425E">
        <w:rPr>
          <w:rFonts w:ascii="Times New Roman" w:hAnsi="Times New Roman" w:cs="Times New Roman"/>
          <w:sz w:val="26"/>
          <w:szCs w:val="26"/>
        </w:rPr>
        <w:t>бюджетных и автономных учреждений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в части Отчетов об исполнении учреждением плана его финансово-хозяйственной деятельности (формы 0503737), Сведений об остатках денежных средств учреждения (формы 0503779) – не позднее </w:t>
      </w:r>
      <w:r w:rsidR="006D35A8">
        <w:rPr>
          <w:rFonts w:ascii="Times New Roman" w:hAnsi="Times New Roman" w:cs="Times New Roman"/>
          <w:sz w:val="26"/>
          <w:szCs w:val="26"/>
        </w:rPr>
        <w:t>1</w:t>
      </w:r>
      <w:r w:rsidR="009E569D">
        <w:rPr>
          <w:rFonts w:ascii="Times New Roman" w:hAnsi="Times New Roman" w:cs="Times New Roman"/>
          <w:sz w:val="26"/>
          <w:szCs w:val="26"/>
        </w:rPr>
        <w:t>5</w:t>
      </w:r>
      <w:r w:rsidRPr="00C34B2B">
        <w:rPr>
          <w:rFonts w:ascii="Times New Roman" w:hAnsi="Times New Roman" w:cs="Times New Roman"/>
          <w:sz w:val="26"/>
          <w:szCs w:val="26"/>
        </w:rPr>
        <w:t xml:space="preserve"> числа месяца, </w:t>
      </w:r>
      <w:r>
        <w:rPr>
          <w:rFonts w:ascii="Times New Roman" w:hAnsi="Times New Roman" w:cs="Times New Roman"/>
          <w:sz w:val="26"/>
          <w:szCs w:val="26"/>
        </w:rPr>
        <w:t>следующего за отчетным периодом;</w:t>
      </w:r>
      <w:r w:rsidRPr="00C34B2B">
        <w:rPr>
          <w:rFonts w:ascii="Times New Roman" w:hAnsi="Times New Roman" w:cs="Times New Roman"/>
          <w:sz w:val="26"/>
          <w:szCs w:val="26"/>
        </w:rPr>
        <w:tab/>
      </w:r>
    </w:p>
    <w:p w:rsidR="00BA5C3A" w:rsidRPr="00AB573A" w:rsidRDefault="00BA5C3A" w:rsidP="00AB573A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73A">
        <w:rPr>
          <w:rFonts w:ascii="Times New Roman" w:hAnsi="Times New Roman" w:cs="Times New Roman"/>
          <w:sz w:val="26"/>
          <w:szCs w:val="26"/>
        </w:rPr>
        <w:t>квартальной</w:t>
      </w:r>
      <w:r w:rsidR="00241C3A"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</w:t>
      </w:r>
      <w:r w:rsidR="002E6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отчетности </w:t>
      </w:r>
      <w:r w:rsidR="007201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квартальной </w:t>
      </w:r>
      <w:r w:rsidR="00241C3A" w:rsidRPr="0062425E">
        <w:rPr>
          <w:rFonts w:ascii="Times New Roman" w:hAnsi="Times New Roman" w:cs="Times New Roman"/>
          <w:sz w:val="26"/>
          <w:szCs w:val="26"/>
        </w:rPr>
        <w:t>бухгалтерской отчетности</w:t>
      </w:r>
      <w:r w:rsidR="002E6ACC">
        <w:rPr>
          <w:rFonts w:ascii="Times New Roman" w:hAnsi="Times New Roman" w:cs="Times New Roman"/>
          <w:sz w:val="26"/>
          <w:szCs w:val="26"/>
        </w:rPr>
        <w:t xml:space="preserve"> </w:t>
      </w:r>
      <w:r w:rsidR="002E6ACC" w:rsidRPr="0062425E">
        <w:rPr>
          <w:rFonts w:ascii="Times New Roman" w:hAnsi="Times New Roman" w:cs="Times New Roman"/>
          <w:sz w:val="26"/>
          <w:szCs w:val="26"/>
        </w:rPr>
        <w:t>бюджетных и автономных учреждений Чувашской Республики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отчетов, представляемых в соответствии с </w:t>
      </w:r>
      <w:hyperlink w:anchor="P1" w:history="1">
        <w:r w:rsidRPr="006242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</w:t>
        </w:r>
        <w:r w:rsidR="0072017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ем</w:t>
        </w:r>
      </w:hyperlink>
      <w:r w:rsidR="00AB5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пятым</w:t>
      </w:r>
      <w:r w:rsidRPr="00AB573A">
        <w:rPr>
          <w:rFonts w:ascii="Times New Roman" w:hAnsi="Times New Roman" w:cs="Times New Roman"/>
          <w:sz w:val="26"/>
          <w:szCs w:val="26"/>
        </w:rPr>
        <w:t xml:space="preserve"> настоящего пункта </w:t>
      </w:r>
      <w:r w:rsidR="00AC11B1" w:rsidRPr="00AB573A">
        <w:rPr>
          <w:rFonts w:ascii="Times New Roman" w:hAnsi="Times New Roman" w:cs="Times New Roman"/>
          <w:sz w:val="26"/>
          <w:szCs w:val="26"/>
        </w:rPr>
        <w:t>–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AC11B1" w:rsidRPr="00AB573A">
        <w:rPr>
          <w:rFonts w:ascii="Times New Roman" w:hAnsi="Times New Roman" w:cs="Times New Roman"/>
          <w:sz w:val="26"/>
          <w:szCs w:val="26"/>
        </w:rPr>
        <w:t xml:space="preserve">в сроки, указанные согласно </w:t>
      </w:r>
      <w:r w:rsidR="00B07AA5" w:rsidRPr="00AB573A">
        <w:rPr>
          <w:rFonts w:ascii="Times New Roman" w:hAnsi="Times New Roman" w:cs="Times New Roman"/>
          <w:sz w:val="26"/>
          <w:szCs w:val="26"/>
        </w:rPr>
        <w:t>приложению к настоящему приказу;</w:t>
      </w:r>
    </w:p>
    <w:p w:rsidR="00B07AA5" w:rsidRPr="00AB573A" w:rsidRDefault="00AA2081" w:rsidP="00AB573A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"/>
      <w:bookmarkEnd w:id="1"/>
      <w:r w:rsidRPr="00AB573A">
        <w:rPr>
          <w:rFonts w:ascii="Times New Roman" w:hAnsi="Times New Roman" w:cs="Times New Roman"/>
          <w:sz w:val="26"/>
          <w:szCs w:val="26"/>
        </w:rPr>
        <w:t>годовой бюджетной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отчетности </w:t>
      </w:r>
      <w:r w:rsidR="00824678"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222B1B"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2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24678"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r w:rsidRPr="006242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Справок</w:t>
      </w:r>
      <w:r w:rsidRPr="0062425E">
        <w:rPr>
          <w:rFonts w:ascii="Times New Roman" w:hAnsi="Times New Roman" w:cs="Times New Roman"/>
          <w:sz w:val="26"/>
          <w:szCs w:val="26"/>
        </w:rPr>
        <w:t xml:space="preserve"> по консолидируемым расчетам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AB573A">
          <w:rPr>
            <w:rFonts w:ascii="Times New Roman" w:hAnsi="Times New Roman" w:cs="Times New Roman"/>
            <w:sz w:val="26"/>
            <w:szCs w:val="26"/>
          </w:rPr>
          <w:t>(ф</w:t>
        </w:r>
        <w:r w:rsidRPr="0062425E">
          <w:rPr>
            <w:rFonts w:ascii="Times New Roman" w:hAnsi="Times New Roman" w:cs="Times New Roman"/>
            <w:sz w:val="26"/>
            <w:szCs w:val="26"/>
          </w:rPr>
          <w:t>ормы</w:t>
        </w:r>
        <w:r w:rsidRPr="00AB573A">
          <w:rPr>
            <w:rFonts w:ascii="Times New Roman" w:hAnsi="Times New Roman" w:cs="Times New Roman"/>
            <w:sz w:val="26"/>
            <w:szCs w:val="26"/>
          </w:rPr>
          <w:t xml:space="preserve"> 0503125)</w:t>
        </w:r>
      </w:hyperlink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A5079D">
        <w:rPr>
          <w:rFonts w:ascii="Times New Roman" w:hAnsi="Times New Roman" w:cs="Times New Roman"/>
          <w:sz w:val="26"/>
          <w:szCs w:val="26"/>
        </w:rPr>
        <w:t>–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A5079D">
        <w:rPr>
          <w:rFonts w:ascii="Times New Roman" w:hAnsi="Times New Roman" w:cs="Times New Roman"/>
          <w:sz w:val="26"/>
          <w:szCs w:val="26"/>
        </w:rPr>
        <w:t>не позднее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8E1C4F">
        <w:rPr>
          <w:rFonts w:ascii="Times New Roman" w:hAnsi="Times New Roman" w:cs="Times New Roman"/>
          <w:sz w:val="26"/>
          <w:szCs w:val="26"/>
        </w:rPr>
        <w:t>30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8E1C4F">
        <w:rPr>
          <w:rFonts w:ascii="Times New Roman" w:hAnsi="Times New Roman" w:cs="Times New Roman"/>
          <w:sz w:val="26"/>
          <w:szCs w:val="26"/>
        </w:rPr>
        <w:t>января</w:t>
      </w:r>
      <w:r w:rsidRPr="00AB573A">
        <w:rPr>
          <w:rFonts w:ascii="Times New Roman" w:hAnsi="Times New Roman" w:cs="Times New Roman"/>
          <w:sz w:val="26"/>
          <w:szCs w:val="26"/>
        </w:rPr>
        <w:t xml:space="preserve"> </w:t>
      </w:r>
      <w:r w:rsidR="004B0F45" w:rsidRPr="00AB573A">
        <w:rPr>
          <w:rFonts w:ascii="Times New Roman" w:hAnsi="Times New Roman" w:cs="Times New Roman"/>
          <w:sz w:val="26"/>
          <w:szCs w:val="26"/>
        </w:rPr>
        <w:t>202</w:t>
      </w:r>
      <w:r w:rsidR="00882201">
        <w:rPr>
          <w:rFonts w:ascii="Times New Roman" w:hAnsi="Times New Roman" w:cs="Times New Roman"/>
          <w:sz w:val="26"/>
          <w:szCs w:val="26"/>
        </w:rPr>
        <w:t>5</w:t>
      </w:r>
      <w:r w:rsidR="004B0F45" w:rsidRPr="00AB573A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F143AF" w:rsidRDefault="00D31508" w:rsidP="00AB573A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1508">
        <w:rPr>
          <w:rFonts w:ascii="Times New Roman" w:hAnsi="Times New Roman" w:cs="Times New Roman"/>
          <w:sz w:val="26"/>
          <w:szCs w:val="26"/>
        </w:rPr>
        <w:t>годовой бухгалтерской отчетности бюджетных и автономных учреждений Чувашской Республики за 202</w:t>
      </w:r>
      <w:r w:rsidR="00882201">
        <w:rPr>
          <w:rFonts w:ascii="Times New Roman" w:hAnsi="Times New Roman" w:cs="Times New Roman"/>
          <w:sz w:val="26"/>
          <w:szCs w:val="26"/>
        </w:rPr>
        <w:t>4</w:t>
      </w:r>
      <w:r w:rsidRPr="00D31508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в части </w:t>
      </w:r>
      <w:r w:rsidR="00F143AF" w:rsidRPr="00F143AF">
        <w:rPr>
          <w:rFonts w:ascii="Times New Roman" w:hAnsi="Times New Roman" w:cs="Times New Roman"/>
          <w:sz w:val="26"/>
          <w:szCs w:val="26"/>
        </w:rPr>
        <w:t xml:space="preserve">Отчетов о движении денежных средств учреждения (формы 0503723), Отчетов об исполнении учреждением плана его финансово-хозяйственной деятельности (формы 0503737), Сведений об остатках денежных средств учреждения (формы 0503779) – не позднее </w:t>
      </w:r>
      <w:r w:rsidR="00EE774A">
        <w:rPr>
          <w:rFonts w:ascii="Times New Roman" w:hAnsi="Times New Roman" w:cs="Times New Roman"/>
          <w:sz w:val="26"/>
          <w:szCs w:val="26"/>
        </w:rPr>
        <w:t>2</w:t>
      </w:r>
      <w:r w:rsidR="00F93D71" w:rsidRPr="00F93D71">
        <w:rPr>
          <w:rFonts w:ascii="Times New Roman" w:hAnsi="Times New Roman" w:cs="Times New Roman"/>
          <w:sz w:val="26"/>
          <w:szCs w:val="26"/>
        </w:rPr>
        <w:t>4</w:t>
      </w:r>
      <w:r w:rsidR="00F143AF" w:rsidRPr="00F143AF">
        <w:rPr>
          <w:rFonts w:ascii="Times New Roman" w:hAnsi="Times New Roman" w:cs="Times New Roman"/>
          <w:sz w:val="26"/>
          <w:szCs w:val="26"/>
        </w:rPr>
        <w:t xml:space="preserve"> </w:t>
      </w:r>
      <w:r w:rsidR="00F143AF">
        <w:rPr>
          <w:rFonts w:ascii="Times New Roman" w:hAnsi="Times New Roman" w:cs="Times New Roman"/>
          <w:sz w:val="26"/>
          <w:szCs w:val="26"/>
        </w:rPr>
        <w:t>января 202</w:t>
      </w:r>
      <w:r w:rsidR="00882201">
        <w:rPr>
          <w:rFonts w:ascii="Times New Roman" w:hAnsi="Times New Roman" w:cs="Times New Roman"/>
          <w:sz w:val="26"/>
          <w:szCs w:val="26"/>
        </w:rPr>
        <w:t>5</w:t>
      </w:r>
      <w:r w:rsidR="00F143AF">
        <w:rPr>
          <w:rFonts w:ascii="Times New Roman" w:hAnsi="Times New Roman" w:cs="Times New Roman"/>
          <w:sz w:val="26"/>
          <w:szCs w:val="26"/>
        </w:rPr>
        <w:t xml:space="preserve"> года</w:t>
      </w:r>
      <w:r w:rsidR="00F143AF" w:rsidRPr="00F143AF">
        <w:rPr>
          <w:rFonts w:ascii="Times New Roman" w:hAnsi="Times New Roman" w:cs="Times New Roman"/>
          <w:sz w:val="26"/>
          <w:szCs w:val="26"/>
        </w:rPr>
        <w:t>;</w:t>
      </w:r>
    </w:p>
    <w:p w:rsidR="006B5645" w:rsidRPr="0062425E" w:rsidRDefault="006B5645" w:rsidP="00AB573A">
      <w:pPr>
        <w:spacing w:before="24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25E">
        <w:rPr>
          <w:rFonts w:ascii="Times New Roman" w:hAnsi="Times New Roman" w:cs="Times New Roman"/>
          <w:sz w:val="26"/>
          <w:szCs w:val="26"/>
        </w:rPr>
        <w:t>годовой бюджетной отчетности, годовой бухгалтерской отчетности бюджетных и автономных учрежд</w:t>
      </w:r>
      <w:r w:rsidR="00052DF8" w:rsidRPr="0062425E">
        <w:rPr>
          <w:rFonts w:ascii="Times New Roman" w:hAnsi="Times New Roman" w:cs="Times New Roman"/>
          <w:sz w:val="26"/>
          <w:szCs w:val="26"/>
        </w:rPr>
        <w:t>ений Чувашской Республики за 202</w:t>
      </w:r>
      <w:r w:rsidR="00882201">
        <w:rPr>
          <w:rFonts w:ascii="Times New Roman" w:hAnsi="Times New Roman" w:cs="Times New Roman"/>
          <w:sz w:val="26"/>
          <w:szCs w:val="26"/>
        </w:rPr>
        <w:t>4</w:t>
      </w:r>
      <w:r w:rsidRPr="0062425E">
        <w:rPr>
          <w:rFonts w:ascii="Times New Roman" w:hAnsi="Times New Roman" w:cs="Times New Roman"/>
          <w:sz w:val="26"/>
          <w:szCs w:val="26"/>
        </w:rPr>
        <w:t xml:space="preserve"> год</w:t>
      </w:r>
      <w:r w:rsidR="00F143AF">
        <w:rPr>
          <w:rFonts w:ascii="Times New Roman" w:hAnsi="Times New Roman" w:cs="Times New Roman"/>
          <w:sz w:val="26"/>
          <w:szCs w:val="26"/>
        </w:rPr>
        <w:t xml:space="preserve">, </w:t>
      </w:r>
      <w:r w:rsidR="00F143AF" w:rsidRPr="00F143AF">
        <w:rPr>
          <w:rFonts w:ascii="Times New Roman" w:hAnsi="Times New Roman" w:cs="Times New Roman"/>
          <w:sz w:val="26"/>
          <w:szCs w:val="26"/>
        </w:rPr>
        <w:t>за исключением отчетов, представляемых в соответствии с абзац</w:t>
      </w:r>
      <w:r w:rsidR="00F143AF">
        <w:rPr>
          <w:rFonts w:ascii="Times New Roman" w:hAnsi="Times New Roman" w:cs="Times New Roman"/>
          <w:sz w:val="26"/>
          <w:szCs w:val="26"/>
        </w:rPr>
        <w:t>ами</w:t>
      </w:r>
      <w:r w:rsidR="00F143AF" w:rsidRPr="00F143AF">
        <w:rPr>
          <w:rFonts w:ascii="Times New Roman" w:hAnsi="Times New Roman" w:cs="Times New Roman"/>
          <w:sz w:val="26"/>
          <w:szCs w:val="26"/>
        </w:rPr>
        <w:t xml:space="preserve"> </w:t>
      </w:r>
      <w:r w:rsidR="00F143AF">
        <w:rPr>
          <w:rFonts w:ascii="Times New Roman" w:hAnsi="Times New Roman" w:cs="Times New Roman"/>
          <w:sz w:val="26"/>
          <w:szCs w:val="26"/>
        </w:rPr>
        <w:t>седьмым</w:t>
      </w:r>
      <w:r w:rsidR="0062030D">
        <w:rPr>
          <w:rFonts w:ascii="Times New Roman" w:hAnsi="Times New Roman" w:cs="Times New Roman"/>
          <w:sz w:val="26"/>
          <w:szCs w:val="26"/>
        </w:rPr>
        <w:t xml:space="preserve"> и </w:t>
      </w:r>
      <w:r w:rsidR="00F143AF">
        <w:rPr>
          <w:rFonts w:ascii="Times New Roman" w:hAnsi="Times New Roman" w:cs="Times New Roman"/>
          <w:sz w:val="26"/>
          <w:szCs w:val="26"/>
        </w:rPr>
        <w:t>восьмым</w:t>
      </w:r>
      <w:r w:rsidR="00F143AF" w:rsidRPr="00F143AF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2E6ACC">
        <w:rPr>
          <w:rFonts w:ascii="Times New Roman" w:hAnsi="Times New Roman" w:cs="Times New Roman"/>
          <w:sz w:val="26"/>
          <w:szCs w:val="26"/>
        </w:rPr>
        <w:t xml:space="preserve">- </w:t>
      </w:r>
      <w:r w:rsidR="002E6ACC" w:rsidRPr="00AB573A">
        <w:rPr>
          <w:rFonts w:ascii="Times New Roman" w:hAnsi="Times New Roman" w:cs="Times New Roman"/>
          <w:sz w:val="26"/>
          <w:szCs w:val="26"/>
        </w:rPr>
        <w:t>в сроки, указанные согласно приложению к настоящему приказу</w:t>
      </w:r>
      <w:r w:rsidRPr="0062425E">
        <w:rPr>
          <w:rFonts w:ascii="Times New Roman" w:hAnsi="Times New Roman" w:cs="Times New Roman"/>
          <w:sz w:val="26"/>
          <w:szCs w:val="26"/>
        </w:rPr>
        <w:t>.</w:t>
      </w:r>
    </w:p>
    <w:p w:rsidR="00E40F28" w:rsidRPr="0062425E" w:rsidRDefault="004B0F45" w:rsidP="00033F05">
      <w:pPr>
        <w:spacing w:before="24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25E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A6868" w:rsidRPr="006242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A6868" w:rsidRPr="006242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A6868" w:rsidRPr="0062425E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</w:t>
      </w:r>
      <w:r w:rsidR="00E40F28" w:rsidRPr="0062425E">
        <w:rPr>
          <w:rFonts w:ascii="Times New Roman" w:hAnsi="Times New Roman" w:cs="Times New Roman"/>
          <w:sz w:val="26"/>
          <w:szCs w:val="26"/>
        </w:rPr>
        <w:t xml:space="preserve">возложить на заместителя министра финансов </w:t>
      </w:r>
      <w:r w:rsidR="003478AC" w:rsidRPr="0062425E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805FA6" w:rsidRPr="0062425E">
        <w:rPr>
          <w:rFonts w:ascii="Times New Roman" w:hAnsi="Times New Roman" w:cs="Times New Roman"/>
          <w:sz w:val="26"/>
          <w:szCs w:val="26"/>
        </w:rPr>
        <w:t>,</w:t>
      </w:r>
      <w:r w:rsidR="003478AC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805FA6" w:rsidRPr="0062425E">
        <w:rPr>
          <w:rFonts w:ascii="Times New Roman" w:hAnsi="Times New Roman" w:cs="Times New Roman"/>
          <w:sz w:val="26"/>
          <w:szCs w:val="26"/>
        </w:rPr>
        <w:t>курирующего деятельност</w:t>
      </w:r>
      <w:r w:rsidR="008A67C0" w:rsidRPr="0062425E">
        <w:rPr>
          <w:rFonts w:ascii="Times New Roman" w:hAnsi="Times New Roman" w:cs="Times New Roman"/>
          <w:sz w:val="26"/>
          <w:szCs w:val="26"/>
        </w:rPr>
        <w:t>ь</w:t>
      </w:r>
      <w:r w:rsidR="00805FA6" w:rsidRPr="0062425E">
        <w:rPr>
          <w:rFonts w:ascii="Times New Roman" w:hAnsi="Times New Roman" w:cs="Times New Roman"/>
          <w:sz w:val="26"/>
          <w:szCs w:val="26"/>
        </w:rPr>
        <w:t xml:space="preserve"> Управления бюджетного учета и отчетности</w:t>
      </w:r>
      <w:r w:rsidR="008A67C0" w:rsidRPr="0062425E">
        <w:rPr>
          <w:rFonts w:ascii="Times New Roman" w:hAnsi="Times New Roman" w:cs="Times New Roman"/>
          <w:sz w:val="26"/>
          <w:szCs w:val="26"/>
        </w:rPr>
        <w:t xml:space="preserve"> Министерства финансов Чувашской Республики</w:t>
      </w:r>
      <w:r w:rsidR="00805FA6" w:rsidRPr="0062425E">
        <w:rPr>
          <w:rFonts w:ascii="Times New Roman" w:hAnsi="Times New Roman" w:cs="Times New Roman"/>
          <w:sz w:val="26"/>
          <w:szCs w:val="26"/>
        </w:rPr>
        <w:t>.</w:t>
      </w:r>
      <w:r w:rsidR="00805FA6" w:rsidRPr="0062425E">
        <w:rPr>
          <w:rFonts w:ascii="Times New Roman" w:hAnsi="Times New Roman" w:cs="Times New Roman"/>
          <w:sz w:val="26"/>
          <w:szCs w:val="26"/>
        </w:rPr>
        <w:tab/>
      </w:r>
    </w:p>
    <w:p w:rsidR="008A6868" w:rsidRPr="0062425E" w:rsidRDefault="004B0F45" w:rsidP="00033F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425E">
        <w:rPr>
          <w:rFonts w:ascii="Times New Roman" w:hAnsi="Times New Roman" w:cs="Times New Roman"/>
          <w:sz w:val="26"/>
          <w:szCs w:val="26"/>
        </w:rPr>
        <w:t>3</w:t>
      </w:r>
      <w:r w:rsidR="008A6868" w:rsidRPr="0062425E">
        <w:rPr>
          <w:rFonts w:ascii="Times New Roman" w:hAnsi="Times New Roman" w:cs="Times New Roman"/>
          <w:sz w:val="26"/>
          <w:szCs w:val="26"/>
        </w:rPr>
        <w:t xml:space="preserve">. Настоящий приказ вступает в силу через </w:t>
      </w:r>
      <w:r w:rsidR="008A67C0" w:rsidRPr="0062425E">
        <w:rPr>
          <w:rFonts w:ascii="Times New Roman" w:hAnsi="Times New Roman" w:cs="Times New Roman"/>
          <w:sz w:val="26"/>
          <w:szCs w:val="26"/>
        </w:rPr>
        <w:t>десять</w:t>
      </w:r>
      <w:r w:rsidR="008A6868" w:rsidRPr="0062425E">
        <w:rPr>
          <w:rFonts w:ascii="Times New Roman" w:hAnsi="Times New Roman" w:cs="Times New Roman"/>
          <w:sz w:val="26"/>
          <w:szCs w:val="26"/>
        </w:rPr>
        <w:t xml:space="preserve"> дней после дня его официального опубликования.</w:t>
      </w:r>
    </w:p>
    <w:p w:rsidR="008A6868" w:rsidRDefault="008A6868" w:rsidP="002E05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030D" w:rsidRPr="0062425E" w:rsidRDefault="0062030D" w:rsidP="002E05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68" w:rsidRPr="0062425E" w:rsidRDefault="008A6868" w:rsidP="002E05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868" w:rsidRPr="0062425E" w:rsidRDefault="00882201" w:rsidP="002E05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8055AD" w:rsidRPr="0062425E">
        <w:rPr>
          <w:rFonts w:ascii="Times New Roman" w:hAnsi="Times New Roman" w:cs="Times New Roman"/>
          <w:sz w:val="26"/>
          <w:szCs w:val="26"/>
        </w:rPr>
        <w:t>инистр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052DF8" w:rsidRPr="0062425E">
        <w:rPr>
          <w:rFonts w:ascii="Times New Roman" w:hAnsi="Times New Roman" w:cs="Times New Roman"/>
          <w:sz w:val="26"/>
          <w:szCs w:val="26"/>
        </w:rPr>
        <w:t xml:space="preserve"> </w:t>
      </w:r>
      <w:r w:rsidR="008055AD" w:rsidRPr="0062425E">
        <w:rPr>
          <w:rFonts w:ascii="Times New Roman" w:hAnsi="Times New Roman" w:cs="Times New Roman"/>
          <w:sz w:val="26"/>
          <w:szCs w:val="26"/>
        </w:rPr>
        <w:tab/>
      </w:r>
      <w:r w:rsidR="00052DF8" w:rsidRPr="0062425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52DF8" w:rsidRPr="006242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2030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r w:rsidR="0062030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Ноздряков</w:t>
      </w:r>
      <w:proofErr w:type="spellEnd"/>
    </w:p>
    <w:p w:rsidR="008A6868" w:rsidRPr="0062425E" w:rsidRDefault="008A6868" w:rsidP="002E05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DAD" w:rsidRDefault="00154DAD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B573A" w:rsidRDefault="00AB573A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D35A8" w:rsidRDefault="006D35A8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D35A8" w:rsidRDefault="006D35A8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D35A8" w:rsidRDefault="006D35A8" w:rsidP="002E05F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83A2A" w:rsidRDefault="00691064" w:rsidP="00DD2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                                  </w:t>
      </w:r>
      <w:r w:rsidR="006D3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DD2CF7" w:rsidRPr="00C42A71" w:rsidRDefault="00483A2A" w:rsidP="00483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6D3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DD2CF7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  <w:r w:rsidR="00691064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к приказу</w:t>
      </w:r>
    </w:p>
    <w:p w:rsidR="00DD2CF7" w:rsidRPr="00C42A71" w:rsidRDefault="00691064" w:rsidP="006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D3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</w:t>
      </w:r>
      <w:r w:rsidR="00DD2CF7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инистерства финансов </w:t>
      </w: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</w:p>
    <w:p w:rsidR="008055AD" w:rsidRPr="00C42A71" w:rsidRDefault="00691064" w:rsidP="006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Чувашской Республики   </w:t>
      </w:r>
    </w:p>
    <w:p w:rsidR="00691064" w:rsidRPr="00C42A71" w:rsidRDefault="00691064" w:rsidP="006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70CAC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</w:t>
      </w: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570CAC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493E67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570CAC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88220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</w:t>
      </w:r>
      <w:r w:rsidR="00570CAC"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proofErr w:type="gramStart"/>
      <w:r w:rsidRPr="00C42A71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proofErr w:type="gramEnd"/>
    </w:p>
    <w:p w:rsidR="00FD179A" w:rsidRPr="00C42A71" w:rsidRDefault="00FD179A" w:rsidP="0069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CF7" w:rsidRPr="00C42A71" w:rsidRDefault="00DD2CF7" w:rsidP="00DD2CF7">
      <w:pPr>
        <w:pStyle w:val="ConsPlusNormal"/>
        <w:tabs>
          <w:tab w:val="left" w:pos="225"/>
        </w:tabs>
        <w:spacing w:line="276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C42A71">
        <w:rPr>
          <w:rFonts w:ascii="Times New Roman" w:hAnsi="Times New Roman" w:cs="Times New Roman"/>
          <w:sz w:val="18"/>
          <w:szCs w:val="18"/>
        </w:rPr>
        <w:t>Сроки представления главными распорядителями средств республиканского бюджета Чувашской Республики, главными администраторами доходов республиканского бюджета  Чувашской Республики, главными администраторами источников финансирования  дефицита республиканского бюдже</w:t>
      </w:r>
      <w:r w:rsidR="00D8050C" w:rsidRPr="00C42A71">
        <w:rPr>
          <w:rFonts w:ascii="Times New Roman" w:hAnsi="Times New Roman" w:cs="Times New Roman"/>
          <w:sz w:val="18"/>
          <w:szCs w:val="18"/>
        </w:rPr>
        <w:t xml:space="preserve">та  Чувашской Республики </w:t>
      </w:r>
      <w:r w:rsidRPr="00C42A71">
        <w:rPr>
          <w:rFonts w:ascii="Times New Roman" w:hAnsi="Times New Roman" w:cs="Times New Roman"/>
          <w:sz w:val="18"/>
          <w:szCs w:val="18"/>
        </w:rPr>
        <w:t xml:space="preserve"> годово</w:t>
      </w:r>
      <w:r w:rsidR="00D8050C" w:rsidRPr="00C42A71">
        <w:rPr>
          <w:rFonts w:ascii="Times New Roman" w:hAnsi="Times New Roman" w:cs="Times New Roman"/>
          <w:sz w:val="18"/>
          <w:szCs w:val="18"/>
        </w:rPr>
        <w:t xml:space="preserve">й бюджетной отчетности, </w:t>
      </w:r>
      <w:r w:rsidRPr="00C42A71">
        <w:rPr>
          <w:rFonts w:ascii="Times New Roman" w:hAnsi="Times New Roman" w:cs="Times New Roman"/>
          <w:sz w:val="18"/>
          <w:szCs w:val="18"/>
        </w:rPr>
        <w:t>годовой бухгалтерской отчетности бюджетных и автономных учреждений Чувашской Республики за 20</w:t>
      </w:r>
      <w:r w:rsidR="00570CAC" w:rsidRPr="00C42A71">
        <w:rPr>
          <w:rFonts w:ascii="Times New Roman" w:hAnsi="Times New Roman" w:cs="Times New Roman"/>
          <w:sz w:val="18"/>
          <w:szCs w:val="18"/>
        </w:rPr>
        <w:t>2</w:t>
      </w:r>
      <w:r w:rsidR="00882201">
        <w:rPr>
          <w:rFonts w:ascii="Times New Roman" w:hAnsi="Times New Roman" w:cs="Times New Roman"/>
          <w:sz w:val="18"/>
          <w:szCs w:val="18"/>
        </w:rPr>
        <w:t>4</w:t>
      </w:r>
      <w:r w:rsidR="006B6DD6" w:rsidRPr="00C42A71">
        <w:rPr>
          <w:rFonts w:ascii="Times New Roman" w:hAnsi="Times New Roman" w:cs="Times New Roman"/>
          <w:sz w:val="18"/>
          <w:szCs w:val="18"/>
        </w:rPr>
        <w:t xml:space="preserve"> </w:t>
      </w:r>
      <w:r w:rsidRPr="00C42A71">
        <w:rPr>
          <w:rFonts w:ascii="Times New Roman" w:hAnsi="Times New Roman" w:cs="Times New Roman"/>
          <w:sz w:val="18"/>
          <w:szCs w:val="18"/>
        </w:rPr>
        <w:t>год</w:t>
      </w:r>
      <w:r w:rsidR="00D8050C" w:rsidRPr="00C42A71">
        <w:rPr>
          <w:rFonts w:ascii="Times New Roman" w:hAnsi="Times New Roman" w:cs="Times New Roman"/>
          <w:sz w:val="18"/>
          <w:szCs w:val="18"/>
        </w:rPr>
        <w:t xml:space="preserve">, </w:t>
      </w:r>
      <w:r w:rsidR="006B6DD6" w:rsidRPr="00C42A71">
        <w:rPr>
          <w:rFonts w:ascii="Times New Roman" w:hAnsi="Times New Roman" w:cs="Times New Roman"/>
          <w:sz w:val="18"/>
          <w:szCs w:val="18"/>
        </w:rPr>
        <w:t xml:space="preserve"> квартальной бюджетной </w:t>
      </w:r>
      <w:r w:rsidRPr="00C42A71">
        <w:rPr>
          <w:rFonts w:ascii="Times New Roman" w:hAnsi="Times New Roman" w:cs="Times New Roman"/>
          <w:sz w:val="18"/>
          <w:szCs w:val="18"/>
        </w:rPr>
        <w:t>отчетности</w:t>
      </w:r>
      <w:r w:rsidR="006B6DD6" w:rsidRPr="00C42A71">
        <w:rPr>
          <w:rFonts w:ascii="Times New Roman" w:hAnsi="Times New Roman" w:cs="Times New Roman"/>
          <w:sz w:val="18"/>
          <w:szCs w:val="18"/>
        </w:rPr>
        <w:t>,</w:t>
      </w:r>
      <w:r w:rsidRPr="00C42A71">
        <w:rPr>
          <w:rFonts w:ascii="Times New Roman" w:hAnsi="Times New Roman" w:cs="Times New Roman"/>
          <w:sz w:val="18"/>
          <w:szCs w:val="18"/>
        </w:rPr>
        <w:t xml:space="preserve"> квартальной бухгалтерской отчетности бюджетных и автономных учреждений Чувашской Республики в 20</w:t>
      </w:r>
      <w:r w:rsidR="006B6DD6" w:rsidRPr="00C42A71">
        <w:rPr>
          <w:rFonts w:ascii="Times New Roman" w:hAnsi="Times New Roman" w:cs="Times New Roman"/>
          <w:sz w:val="18"/>
          <w:szCs w:val="18"/>
        </w:rPr>
        <w:t>2</w:t>
      </w:r>
      <w:r w:rsidR="00882201">
        <w:rPr>
          <w:rFonts w:ascii="Times New Roman" w:hAnsi="Times New Roman" w:cs="Times New Roman"/>
          <w:sz w:val="18"/>
          <w:szCs w:val="18"/>
        </w:rPr>
        <w:t>5</w:t>
      </w:r>
      <w:r w:rsidRPr="00C42A71">
        <w:rPr>
          <w:rFonts w:ascii="Times New Roman" w:hAnsi="Times New Roman" w:cs="Times New Roman"/>
          <w:sz w:val="18"/>
          <w:szCs w:val="18"/>
        </w:rPr>
        <w:t xml:space="preserve"> году</w:t>
      </w:r>
      <w:proofErr w:type="gramEnd"/>
    </w:p>
    <w:tbl>
      <w:tblPr>
        <w:tblW w:w="110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801"/>
        <w:gridCol w:w="4161"/>
        <w:gridCol w:w="1368"/>
        <w:gridCol w:w="1369"/>
        <w:gridCol w:w="1369"/>
        <w:gridCol w:w="1369"/>
      </w:tblGrid>
      <w:tr w:rsidR="00C42A71" w:rsidRPr="00C42A71" w:rsidTr="00416173">
        <w:trPr>
          <w:trHeight w:val="1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2CF7" w:rsidRPr="00C42A71" w:rsidRDefault="00A71FD9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="00DD2CF7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D2CF7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="00DD2CF7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главных распорядителей средств республиканского бюджета Чувашской Республики, главных администраторов доходов республиканского бюджета Чувашской Республики, главных администраторов </w:t>
            </w:r>
            <w:proofErr w:type="gramStart"/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8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20</w:t>
            </w:r>
            <w:r w:rsidR="00570CAC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82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26BEA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88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квартал    20</w:t>
            </w:r>
            <w:r w:rsidR="00C26BEA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82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C26BEA" w:rsidP="003F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6 месяцев 202</w:t>
            </w:r>
            <w:r w:rsidR="00882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DD2CF7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3F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9 месяцев 20</w:t>
            </w:r>
            <w:r w:rsidR="00C26BEA"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82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C42A71" w:rsidRPr="00C42A71" w:rsidTr="00416173">
        <w:trPr>
          <w:trHeight w:val="94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CF7" w:rsidRPr="00C42A71" w:rsidRDefault="00DD2CF7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3F49FF" w:rsidRPr="00A934FD" w:rsidTr="00381ED3">
        <w:trPr>
          <w:trHeight w:val="3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4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Главы Чувашской Республики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40E09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5-16.04.2025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1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15.07.202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-16.07.202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EE774A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4.04.2025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1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84324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13.10.2025</w:t>
            </w:r>
          </w:p>
        </w:tc>
      </w:tr>
      <w:tr w:rsidR="003F49FF" w:rsidRPr="00A934FD" w:rsidTr="00381ED3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палата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EE774A" w:rsidP="00E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13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130B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C40E09" w:rsidP="003F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30.01.2025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D6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15.07.202</w:t>
            </w:r>
            <w:r w:rsidR="00D6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C84324" w:rsidP="003F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3F49FF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Избирательная комиссия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7.01.2025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D6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D6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84324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656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служба Чувашской Республики по делам юстиции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D6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D64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промышленности и энергетики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-0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3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Совет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2C432E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транспорта и дорожного хозяйства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BB5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BB5D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A1596C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15.07.2025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90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2C432E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жилищная инспекция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0272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5-18.07.2025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5-18.07.2025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8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3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7B217B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="003F49FF" w:rsidRPr="00A934F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Министерство здравоохранения Чувашской Республики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8239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00E83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-21.10.202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9049DD">
            <w:pPr>
              <w:spacing w:after="0" w:line="240" w:lineRule="auto"/>
              <w:jc w:val="both"/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труда и социальной защиты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40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C40E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4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7B217B" w:rsidP="0090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history="1">
              <w:r w:rsidR="003F49FF" w:rsidRPr="00A934F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Министерство культуры, по делам национальностей и архивного дела Чувашской Республики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C3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9049DD">
            <w:pPr>
              <w:spacing w:after="0" w:line="240" w:lineRule="auto"/>
              <w:jc w:val="both"/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физической культуры и спорта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2C432E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7B217B" w:rsidP="0090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history="1">
              <w:r w:rsidR="003F49FF" w:rsidRPr="00A934F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Министерство цифрового развития, информационной политики и массовых коммуникаций Чувашской Республики</w:t>
              </w:r>
            </w:hyperlink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5-17.04.2025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-17.07.202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6.10.2025-17.10.2025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3F49FF" w:rsidRDefault="003F49FF" w:rsidP="003F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образования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A1596C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C00E83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5-21.10.2025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30.01.202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-31.01.202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A1596C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-15.07.202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5-15.10.2025</w:t>
            </w:r>
          </w:p>
        </w:tc>
      </w:tr>
      <w:tr w:rsidR="003F49FF" w:rsidRPr="00A934FD" w:rsidTr="00381ED3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ветеринарная служба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4.02.2025-06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5-16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6.10.2025</w:t>
            </w:r>
          </w:p>
        </w:tc>
      </w:tr>
      <w:tr w:rsidR="003F49FF" w:rsidRPr="00A934FD" w:rsidTr="00381ED3">
        <w:trPr>
          <w:trHeight w:val="4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9FF" w:rsidRPr="00A934FD" w:rsidRDefault="003F49FF" w:rsidP="00904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сельского хозяйства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2C432E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718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49FF" w:rsidRPr="00A934FD" w:rsidTr="00381ED3">
        <w:trPr>
          <w:trHeight w:val="5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D1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0272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C8239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14.04.2025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00E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3.10.2025</w:t>
            </w:r>
          </w:p>
        </w:tc>
      </w:tr>
      <w:tr w:rsidR="003F49FF" w:rsidRPr="00A934FD" w:rsidTr="00381ED3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9FF" w:rsidRPr="00A934FD" w:rsidRDefault="003F49FF" w:rsidP="0041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финансов Чувашской Республики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3F0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2C43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.02.202</w:t>
            </w:r>
            <w:r w:rsidR="003F02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C82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7.04.2025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-18.04.202</w:t>
            </w:r>
            <w:r w:rsidR="00C8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3F49FF" w:rsidP="00A1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-18.07.202</w:t>
            </w:r>
            <w:r w:rsidR="00A159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9FF" w:rsidRPr="003F49FF" w:rsidRDefault="00C00E83" w:rsidP="00C0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3F49FF" w:rsidRPr="003F49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</w:tbl>
    <w:p w:rsidR="008A6868" w:rsidRPr="00C42A71" w:rsidRDefault="008A6868" w:rsidP="00F143AF">
      <w:pPr>
        <w:pStyle w:val="ConsPlusNormal"/>
        <w:tabs>
          <w:tab w:val="left" w:pos="7170"/>
          <w:tab w:val="right" w:pos="9355"/>
        </w:tabs>
        <w:outlineLvl w:val="0"/>
        <w:rPr>
          <w:rFonts w:ascii="Times New Roman" w:hAnsi="Times New Roman" w:cs="Times New Roman"/>
          <w:sz w:val="20"/>
        </w:rPr>
      </w:pPr>
    </w:p>
    <w:sectPr w:rsidR="008A6868" w:rsidRPr="00C42A71" w:rsidSect="0069106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68"/>
    <w:rsid w:val="00014D4B"/>
    <w:rsid w:val="00022978"/>
    <w:rsid w:val="00033F05"/>
    <w:rsid w:val="00044B82"/>
    <w:rsid w:val="00045181"/>
    <w:rsid w:val="00052DF8"/>
    <w:rsid w:val="000732A0"/>
    <w:rsid w:val="00074CCF"/>
    <w:rsid w:val="000C7D1E"/>
    <w:rsid w:val="000E1812"/>
    <w:rsid w:val="000E2D1F"/>
    <w:rsid w:val="000E318B"/>
    <w:rsid w:val="000F0552"/>
    <w:rsid w:val="00130B2E"/>
    <w:rsid w:val="0015463F"/>
    <w:rsid w:val="00154DAD"/>
    <w:rsid w:val="00171844"/>
    <w:rsid w:val="001861A4"/>
    <w:rsid w:val="001B67E3"/>
    <w:rsid w:val="001D212A"/>
    <w:rsid w:val="001E0373"/>
    <w:rsid w:val="001F62BE"/>
    <w:rsid w:val="0020217A"/>
    <w:rsid w:val="00206ADA"/>
    <w:rsid w:val="00222B1B"/>
    <w:rsid w:val="00241C3A"/>
    <w:rsid w:val="00251521"/>
    <w:rsid w:val="002622BC"/>
    <w:rsid w:val="00291B8C"/>
    <w:rsid w:val="002B7DCB"/>
    <w:rsid w:val="002C0BA6"/>
    <w:rsid w:val="002C432E"/>
    <w:rsid w:val="002E05F9"/>
    <w:rsid w:val="002E1203"/>
    <w:rsid w:val="002E6ACC"/>
    <w:rsid w:val="00330818"/>
    <w:rsid w:val="003331BE"/>
    <w:rsid w:val="003478AC"/>
    <w:rsid w:val="00363F17"/>
    <w:rsid w:val="00372E05"/>
    <w:rsid w:val="00376BB0"/>
    <w:rsid w:val="003D27E1"/>
    <w:rsid w:val="003F0272"/>
    <w:rsid w:val="003F49FF"/>
    <w:rsid w:val="00401D88"/>
    <w:rsid w:val="00421A49"/>
    <w:rsid w:val="00451276"/>
    <w:rsid w:val="004528CA"/>
    <w:rsid w:val="00470803"/>
    <w:rsid w:val="00470DE8"/>
    <w:rsid w:val="00483A2A"/>
    <w:rsid w:val="00493E67"/>
    <w:rsid w:val="004A2532"/>
    <w:rsid w:val="004B0F45"/>
    <w:rsid w:val="004B4373"/>
    <w:rsid w:val="004B6766"/>
    <w:rsid w:val="004E664C"/>
    <w:rsid w:val="0050075B"/>
    <w:rsid w:val="00515FC9"/>
    <w:rsid w:val="00537063"/>
    <w:rsid w:val="0055170C"/>
    <w:rsid w:val="00556886"/>
    <w:rsid w:val="00570CAC"/>
    <w:rsid w:val="005774DF"/>
    <w:rsid w:val="005A2BF9"/>
    <w:rsid w:val="005B1265"/>
    <w:rsid w:val="005D6828"/>
    <w:rsid w:val="005E0DE9"/>
    <w:rsid w:val="005F582F"/>
    <w:rsid w:val="00601BE6"/>
    <w:rsid w:val="0062030D"/>
    <w:rsid w:val="0062425E"/>
    <w:rsid w:val="0062784C"/>
    <w:rsid w:val="0064447E"/>
    <w:rsid w:val="00656250"/>
    <w:rsid w:val="0068436E"/>
    <w:rsid w:val="00684BFF"/>
    <w:rsid w:val="00691064"/>
    <w:rsid w:val="006B352D"/>
    <w:rsid w:val="006B5645"/>
    <w:rsid w:val="006B6DD6"/>
    <w:rsid w:val="006D35A8"/>
    <w:rsid w:val="00710749"/>
    <w:rsid w:val="0071227A"/>
    <w:rsid w:val="00720175"/>
    <w:rsid w:val="0073495C"/>
    <w:rsid w:val="00745A71"/>
    <w:rsid w:val="00761BA5"/>
    <w:rsid w:val="00763D8D"/>
    <w:rsid w:val="0077459C"/>
    <w:rsid w:val="00796692"/>
    <w:rsid w:val="007A5BAC"/>
    <w:rsid w:val="007B1A7C"/>
    <w:rsid w:val="007B217B"/>
    <w:rsid w:val="007B6EBD"/>
    <w:rsid w:val="007B776A"/>
    <w:rsid w:val="007E1E2A"/>
    <w:rsid w:val="007F066F"/>
    <w:rsid w:val="007F77B3"/>
    <w:rsid w:val="00801E3F"/>
    <w:rsid w:val="008055AD"/>
    <w:rsid w:val="00805FA6"/>
    <w:rsid w:val="0081683A"/>
    <w:rsid w:val="00824678"/>
    <w:rsid w:val="00825164"/>
    <w:rsid w:val="008348F2"/>
    <w:rsid w:val="0086457B"/>
    <w:rsid w:val="00882201"/>
    <w:rsid w:val="008A1B48"/>
    <w:rsid w:val="008A67C0"/>
    <w:rsid w:val="008A6868"/>
    <w:rsid w:val="008C7928"/>
    <w:rsid w:val="008E1C4F"/>
    <w:rsid w:val="008E5E20"/>
    <w:rsid w:val="008E6DF6"/>
    <w:rsid w:val="009401A7"/>
    <w:rsid w:val="009514A3"/>
    <w:rsid w:val="00962A79"/>
    <w:rsid w:val="009A4F42"/>
    <w:rsid w:val="009E569D"/>
    <w:rsid w:val="00A1596C"/>
    <w:rsid w:val="00A2241E"/>
    <w:rsid w:val="00A40833"/>
    <w:rsid w:val="00A5079D"/>
    <w:rsid w:val="00A56B92"/>
    <w:rsid w:val="00A71FD9"/>
    <w:rsid w:val="00A735B5"/>
    <w:rsid w:val="00A934FD"/>
    <w:rsid w:val="00AA2081"/>
    <w:rsid w:val="00AA37D6"/>
    <w:rsid w:val="00AB4FC2"/>
    <w:rsid w:val="00AB573A"/>
    <w:rsid w:val="00AC11B1"/>
    <w:rsid w:val="00B07AA5"/>
    <w:rsid w:val="00B07C97"/>
    <w:rsid w:val="00B255A0"/>
    <w:rsid w:val="00B2588E"/>
    <w:rsid w:val="00B41CE9"/>
    <w:rsid w:val="00B456A6"/>
    <w:rsid w:val="00BA4ABD"/>
    <w:rsid w:val="00BA5C3A"/>
    <w:rsid w:val="00BB5D82"/>
    <w:rsid w:val="00BB68F1"/>
    <w:rsid w:val="00BD27C1"/>
    <w:rsid w:val="00BD4774"/>
    <w:rsid w:val="00BD75A4"/>
    <w:rsid w:val="00BE05D7"/>
    <w:rsid w:val="00BF7FA1"/>
    <w:rsid w:val="00C00E83"/>
    <w:rsid w:val="00C26BEA"/>
    <w:rsid w:val="00C31BEF"/>
    <w:rsid w:val="00C340FD"/>
    <w:rsid w:val="00C40E09"/>
    <w:rsid w:val="00C42A71"/>
    <w:rsid w:val="00C52B59"/>
    <w:rsid w:val="00C8239F"/>
    <w:rsid w:val="00C84324"/>
    <w:rsid w:val="00C905B2"/>
    <w:rsid w:val="00C918D1"/>
    <w:rsid w:val="00CB25B7"/>
    <w:rsid w:val="00CC2164"/>
    <w:rsid w:val="00CC24EA"/>
    <w:rsid w:val="00CD24DD"/>
    <w:rsid w:val="00CF3C26"/>
    <w:rsid w:val="00D15282"/>
    <w:rsid w:val="00D31508"/>
    <w:rsid w:val="00D3377D"/>
    <w:rsid w:val="00D64419"/>
    <w:rsid w:val="00D8050C"/>
    <w:rsid w:val="00DD2111"/>
    <w:rsid w:val="00DD2CF7"/>
    <w:rsid w:val="00E24C26"/>
    <w:rsid w:val="00E34B63"/>
    <w:rsid w:val="00E40F28"/>
    <w:rsid w:val="00E67C30"/>
    <w:rsid w:val="00EB2E2A"/>
    <w:rsid w:val="00EB792F"/>
    <w:rsid w:val="00EE774A"/>
    <w:rsid w:val="00F10BF7"/>
    <w:rsid w:val="00F143AF"/>
    <w:rsid w:val="00F350C5"/>
    <w:rsid w:val="00F575B9"/>
    <w:rsid w:val="00F60E6E"/>
    <w:rsid w:val="00F62827"/>
    <w:rsid w:val="00F93D71"/>
    <w:rsid w:val="00FB115D"/>
    <w:rsid w:val="00FD179A"/>
    <w:rsid w:val="00FD1E76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1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4D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5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1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4D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B494DCB4D75650F53FF5727DB6E953889E6708AE815C34095E1A2CC10XBL" TargetMode="External"/><Relationship Id="rId13" Type="http://schemas.openxmlformats.org/officeDocument/2006/relationships/hyperlink" Target="http://www.culture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2B494DCB4D75650F53FF5727DB6E953889E07580E915C34095E1A2CC10XBL" TargetMode="External"/><Relationship Id="rId12" Type="http://schemas.openxmlformats.org/officeDocument/2006/relationships/hyperlink" Target="http://medicin.ca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2B494DCB4D75650F53FF5727DB6E953B80E57D8EE915C34095E1A2CC0BC4298B5CE1C57C6314X1L" TargetMode="External"/><Relationship Id="rId11" Type="http://schemas.openxmlformats.org/officeDocument/2006/relationships/hyperlink" Target="consultantplus://offline/ref=7AD7D91CC04B2D6C5F7CD38E03959CF118CF606228E1E342F8FFF94E9E23BF6F5C56ACD423239FC3673113A960A21D3C8C13F55BCF3CbFi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D7D91CC04B2D6C5F7CD38E03959CF118CF606228E1E342F8FFF94E9E23BF6F5C56ACD423239FC3673113A960A21D3C8C13F55BCF3CbFi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7D91CC04B2D6C5F7CD38E03959CF118CF606228E1E342F8FFF94E9E23BF6F5C56ACD423239FC3673113A960A21D3C8C13F55BCF3CbFi3L" TargetMode="External"/><Relationship Id="rId14" Type="http://schemas.openxmlformats.org/officeDocument/2006/relationships/hyperlink" Target="http://info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3DE4-D069-462D-B0B9-B951C8D4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Витальевна</dc:creator>
  <cp:lastModifiedBy>Николаева Марина Геннадьевна</cp:lastModifiedBy>
  <cp:revision>2</cp:revision>
  <cp:lastPrinted>2023-11-01T08:23:00Z</cp:lastPrinted>
  <dcterms:created xsi:type="dcterms:W3CDTF">2024-11-07T06:44:00Z</dcterms:created>
  <dcterms:modified xsi:type="dcterms:W3CDTF">2024-11-07T06:44:00Z</dcterms:modified>
</cp:coreProperties>
</file>